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96" w:beforeLines="800"/>
        <w:jc w:val="center"/>
        <w:rPr>
          <w:rFonts w:ascii="仿宋" w:hAnsi="仿宋" w:eastAsia="仿宋"/>
          <w:sz w:val="72"/>
          <w:szCs w:val="72"/>
        </w:rPr>
      </w:pPr>
      <w:r>
        <w:rPr>
          <w:rFonts w:hint="eastAsia" w:ascii="仿宋" w:hAnsi="仿宋" w:eastAsia="仿宋"/>
          <w:sz w:val="72"/>
          <w:szCs w:val="72"/>
        </w:rPr>
        <w:t>企业环境信息依法披露</w:t>
      </w:r>
    </w:p>
    <w:p>
      <w:pPr>
        <w:jc w:val="center"/>
        <w:rPr>
          <w:rFonts w:ascii="仿宋" w:hAnsi="仿宋" w:eastAsia="仿宋"/>
          <w:sz w:val="72"/>
          <w:szCs w:val="72"/>
        </w:rPr>
      </w:pPr>
      <w:r>
        <w:rPr>
          <w:rFonts w:hint="eastAsia" w:ascii="仿宋" w:hAnsi="仿宋" w:eastAsia="仿宋"/>
          <w:sz w:val="72"/>
          <w:szCs w:val="72"/>
        </w:rPr>
        <w:t>临时报告</w:t>
      </w:r>
    </w:p>
    <w:p>
      <w:pPr>
        <w:spacing w:before="3744" w:beforeLines="1200"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pacing w:val="213"/>
          <w:kern w:val="0"/>
          <w:sz w:val="32"/>
          <w:szCs w:val="32"/>
          <w:fitText w:val="2560" w:id="-1587879167"/>
        </w:rPr>
        <w:t>企业名</w:t>
      </w:r>
      <w:r>
        <w:rPr>
          <w:rFonts w:ascii="仿宋" w:hAnsi="仿宋" w:eastAsia="仿宋"/>
          <w:spacing w:val="1"/>
          <w:kern w:val="0"/>
          <w:sz w:val="32"/>
          <w:szCs w:val="32"/>
          <w:fitText w:val="2560" w:id="-1587879167"/>
        </w:rPr>
        <w:t>称</w:t>
      </w:r>
      <w:r>
        <w:rPr>
          <w:rFonts w:hint="eastAsia" w:ascii="仿宋" w:hAnsi="仿宋" w:eastAsia="仿宋"/>
          <w:sz w:val="32"/>
          <w:szCs w:val="32"/>
        </w:rPr>
        <w:t>：中国石化青岛炼油化工有限责任公司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统一社会信用代码</w:t>
      </w:r>
      <w:r>
        <w:rPr>
          <w:rFonts w:hint="eastAsia" w:ascii="仿宋" w:hAnsi="仿宋" w:eastAsia="仿宋"/>
          <w:sz w:val="32"/>
          <w:szCs w:val="32"/>
        </w:rPr>
        <w:t>：9</w:t>
      </w:r>
      <w:r>
        <w:rPr>
          <w:rFonts w:ascii="仿宋" w:hAnsi="仿宋" w:eastAsia="仿宋"/>
          <w:sz w:val="32"/>
          <w:szCs w:val="32"/>
        </w:rPr>
        <w:t>1370200766720175X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pacing w:val="213"/>
          <w:kern w:val="0"/>
          <w:sz w:val="32"/>
          <w:szCs w:val="32"/>
          <w:fitText w:val="2560" w:id="-1587879168"/>
        </w:rPr>
        <w:t>报告</w:t>
      </w:r>
      <w:r>
        <w:rPr>
          <w:rFonts w:hint="eastAsia" w:ascii="仿宋" w:hAnsi="仿宋" w:eastAsia="仿宋"/>
          <w:spacing w:val="213"/>
          <w:kern w:val="0"/>
          <w:sz w:val="32"/>
          <w:szCs w:val="32"/>
          <w:fitText w:val="2560" w:id="-1587879168"/>
        </w:rPr>
        <w:t>时</w:t>
      </w:r>
      <w:r>
        <w:rPr>
          <w:rFonts w:hint="eastAsia" w:ascii="仿宋" w:hAnsi="仿宋" w:eastAsia="仿宋"/>
          <w:spacing w:val="1"/>
          <w:kern w:val="0"/>
          <w:sz w:val="32"/>
          <w:szCs w:val="32"/>
          <w:fitText w:val="2560" w:id="-1587879168"/>
        </w:rPr>
        <w:t>间</w:t>
      </w:r>
      <w:r>
        <w:rPr>
          <w:rFonts w:hint="eastAsia" w:ascii="仿宋" w:hAnsi="仿宋" w:eastAsia="仿宋"/>
          <w:sz w:val="32"/>
          <w:szCs w:val="32"/>
        </w:rPr>
        <w:t>：2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本临时报告内容真实、准确、完整，不存在虚假记载、误导性陈述或重大遗漏，若出现故意谎报、瞒报等情况将承担相应的法律责任。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企业负责人</w:t>
      </w:r>
      <w:r>
        <w:rPr>
          <w:rFonts w:hint="eastAsia" w:ascii="仿宋" w:hAnsi="仿宋" w:eastAsia="仿宋"/>
          <w:sz w:val="32"/>
          <w:szCs w:val="32"/>
        </w:rPr>
        <w:t>：刘训书</w:t>
      </w:r>
    </w:p>
    <w:p>
      <w:pPr>
        <w:spacing w:before="312" w:beforeLines="100" w:line="360" w:lineRule="auto"/>
        <w:ind w:right="318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声明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本临时报告中各项信息真实、准确、完整，我单位将自觉接受环境保护主管部门监管和社会公众监督，如提交的信息与实际情况不符，将积极配合调查，并依法接受处罚。</w:t>
      </w:r>
    </w:p>
    <w:p>
      <w:pPr>
        <w:spacing w:line="360" w:lineRule="auto"/>
        <w:jc w:val="right"/>
        <w:rPr>
          <w:rFonts w:hint="eastAsia" w:ascii="仿宋" w:hAnsi="仿宋" w:eastAsia="仿宋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仿宋" w:hAnsi="仿宋" w:eastAsia="仿宋"/>
          <w:sz w:val="32"/>
          <w:szCs w:val="32"/>
        </w:rPr>
        <w:t>环保工作负责人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王军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</w:pPr>
      <w:bookmarkStart w:id="0" w:name="_Toc93304236"/>
      <w:r>
        <w:t>1</w:t>
      </w:r>
      <w:r>
        <w:rPr>
          <w:rFonts w:hint="eastAsia"/>
        </w:rPr>
        <w:t xml:space="preserve"> </w:t>
      </w:r>
      <w:r>
        <w:t>企业基本信息</w:t>
      </w:r>
      <w:bookmarkEnd w:id="0"/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企业基本信息如下表</w:t>
      </w:r>
      <w:r>
        <w:rPr>
          <w:rFonts w:hint="eastAsia" w:asciiTheme="minorEastAsia" w:hAnsiTheme="minorEastAsia"/>
          <w:sz w:val="28"/>
          <w:szCs w:val="28"/>
        </w:rPr>
        <w:t>1所示。</w:t>
      </w:r>
    </w:p>
    <w:p>
      <w:pPr>
        <w:spacing w:line="360" w:lineRule="auto"/>
        <w:ind w:firstLine="482" w:firstLineChars="200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表</w:t>
      </w:r>
      <w:r>
        <w:rPr>
          <w:rFonts w:hint="eastAsia" w:asciiTheme="minorEastAsia" w:hAnsiTheme="minorEastAsia"/>
          <w:b/>
          <w:sz w:val="24"/>
          <w:szCs w:val="24"/>
        </w:rPr>
        <w:t>1</w:t>
      </w:r>
      <w:r>
        <w:rPr>
          <w:rFonts w:asciiTheme="minorEastAsia" w:hAnsiTheme="minorEastAsia"/>
          <w:b/>
          <w:sz w:val="24"/>
          <w:szCs w:val="24"/>
        </w:rPr>
        <w:t xml:space="preserve"> 企业基本信息表</w:t>
      </w:r>
    </w:p>
    <w:tbl>
      <w:tblPr>
        <w:tblStyle w:val="11"/>
        <w:tblW w:w="5468" w:type="pct"/>
        <w:tblInd w:w="-43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2330"/>
        <w:gridCol w:w="2183"/>
        <w:gridCol w:w="3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单位名称</w:t>
            </w: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中国石化青岛炼油化工有限责任公司</w:t>
            </w:r>
          </w:p>
        </w:tc>
        <w:tc>
          <w:tcPr>
            <w:tcW w:w="1171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注册地址</w:t>
            </w:r>
          </w:p>
        </w:tc>
        <w:tc>
          <w:tcPr>
            <w:tcW w:w="1641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山东省青岛市黄岛区（开发区）千山南路8</w:t>
            </w:r>
            <w:r>
              <w:rPr>
                <w:rFonts w:asciiTheme="minorEastAsia" w:hAnsiTheme="minorEastAsia"/>
                <w:szCs w:val="21"/>
              </w:rPr>
              <w:t>27号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pct"/>
            <w:vAlign w:val="center"/>
          </w:tcPr>
          <w:p>
            <w:pPr>
              <w:spacing w:line="360" w:lineRule="auto"/>
              <w:ind w:right="318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Cs w:val="21"/>
              </w:rPr>
              <w:t>法定代表人</w:t>
            </w: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刘训书</w:t>
            </w:r>
          </w:p>
        </w:tc>
        <w:tc>
          <w:tcPr>
            <w:tcW w:w="1171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生产地址</w:t>
            </w:r>
          </w:p>
        </w:tc>
        <w:tc>
          <w:tcPr>
            <w:tcW w:w="1641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山东省青岛市黄岛区（开发区）千山南路8</w:t>
            </w:r>
            <w:r>
              <w:rPr>
                <w:rFonts w:asciiTheme="minorEastAsia" w:hAnsiTheme="minorEastAsia"/>
                <w:szCs w:val="21"/>
              </w:rPr>
              <w:t>27号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行业类别</w:t>
            </w: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原油加工及石油制品制造</w:t>
            </w:r>
          </w:p>
        </w:tc>
        <w:tc>
          <w:tcPr>
            <w:tcW w:w="1171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企业性质</w:t>
            </w:r>
          </w:p>
        </w:tc>
        <w:tc>
          <w:tcPr>
            <w:tcW w:w="1641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38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是否为重点排污单位</w:t>
            </w: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</w:t>
            </w:r>
          </w:p>
        </w:tc>
        <w:tc>
          <w:tcPr>
            <w:tcW w:w="1171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是否为强制性清洁生产审核单位</w:t>
            </w:r>
          </w:p>
        </w:tc>
        <w:tc>
          <w:tcPr>
            <w:tcW w:w="1641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企业联系人</w:t>
            </w: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陈聪</w:t>
            </w:r>
          </w:p>
        </w:tc>
        <w:tc>
          <w:tcPr>
            <w:tcW w:w="1171" w:type="pct"/>
            <w:vAlign w:val="center"/>
          </w:tcPr>
          <w:p>
            <w:pPr>
              <w:spacing w:line="360" w:lineRule="auto"/>
              <w:ind w:right="31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联系方式</w:t>
            </w:r>
          </w:p>
        </w:tc>
        <w:tc>
          <w:tcPr>
            <w:tcW w:w="1641" w:type="pct"/>
            <w:vAlign w:val="center"/>
          </w:tcPr>
          <w:p>
            <w:pPr>
              <w:spacing w:line="360" w:lineRule="auto"/>
              <w:ind w:right="318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3780675245</w:t>
            </w:r>
          </w:p>
        </w:tc>
      </w:tr>
    </w:tbl>
    <w:p>
      <w:pPr>
        <w:pStyle w:val="2"/>
        <w:keepNext w:val="0"/>
        <w:keepLines w:val="0"/>
      </w:pPr>
      <w:r>
        <w:rPr>
          <w:rFonts w:hint="eastAsia"/>
        </w:rPr>
        <w:t xml:space="preserve">2 </w:t>
      </w:r>
      <w:r>
        <w:t>临时报告正文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对</w:t>
      </w:r>
      <w:r>
        <w:rPr>
          <w:rFonts w:asciiTheme="minorEastAsia" w:hAnsiTheme="minorEastAsia"/>
          <w:sz w:val="28"/>
          <w:szCs w:val="28"/>
        </w:rPr>
        <w:t>排污许可证进行了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重新申领</w:t>
      </w:r>
      <w:r>
        <w:rPr>
          <w:rFonts w:hint="eastAsia" w:asciiTheme="minorEastAsia" w:hAnsiTheme="minorEastAsia"/>
          <w:sz w:val="28"/>
          <w:szCs w:val="28"/>
        </w:rPr>
        <w:t>，现予以披露，</w:t>
      </w:r>
      <w:r>
        <w:rPr>
          <w:rFonts w:asciiTheme="minorEastAsia" w:hAnsiTheme="minorEastAsia"/>
          <w:sz w:val="28"/>
          <w:szCs w:val="28"/>
        </w:rPr>
        <w:t>具体情况如下所示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表</w:t>
      </w:r>
      <w:r>
        <w:rPr>
          <w:rFonts w:hint="eastAsia" w:asciiTheme="minorEastAsia" w:hAnsiTheme="minorEastAsia"/>
          <w:b/>
          <w:sz w:val="24"/>
          <w:szCs w:val="24"/>
        </w:rPr>
        <w:t>2</w:t>
      </w:r>
      <w:r>
        <w:rPr>
          <w:rFonts w:asciiTheme="minorEastAsia" w:hAnsiTheme="minorEastAsia"/>
          <w:b/>
          <w:sz w:val="24"/>
          <w:szCs w:val="24"/>
        </w:rPr>
        <w:t xml:space="preserve"> 变更情况</w:t>
      </w:r>
    </w:p>
    <w:tbl>
      <w:tblPr>
        <w:tblStyle w:val="12"/>
        <w:tblW w:w="5482" w:type="pct"/>
        <w:tblInd w:w="-4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563"/>
        <w:gridCol w:w="2965"/>
        <w:gridCol w:w="2086"/>
        <w:gridCol w:w="1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披露事件种类</w:t>
            </w: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变更事项</w:t>
            </w:r>
          </w:p>
        </w:tc>
        <w:tc>
          <w:tcPr>
            <w:tcW w:w="111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批复</w:t>
            </w:r>
            <w:r>
              <w:rPr>
                <w:rFonts w:ascii="Times New Roman" w:hAnsi="Times New Roman" w:cs="Times New Roman"/>
              </w:rPr>
              <w:t>机关</w:t>
            </w: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批复时间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610" w:type="pc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排污许可证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申领</w:t>
            </w: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其他行业类别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由火力</w:t>
            </w:r>
            <w:r>
              <w:rPr>
                <w:rFonts w:hint="eastAsia" w:ascii="Times New Roman" w:hAnsi="Times New Roman" w:cs="Times New Roman"/>
              </w:rPr>
              <w:t>发电变更为热电联产</w:t>
            </w:r>
            <w:r>
              <w:rPr>
                <w:rFonts w:hint="eastAsia" w:ascii="Times New Roman" w:hAnsi="Times New Roman" w:cs="Times New Roman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</w:rPr>
              <w:t>新增了柴油加氢反应加热炉低氮燃烧改造项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目、</w:t>
            </w:r>
            <w:r>
              <w:rPr>
                <w:rFonts w:hint="eastAsia" w:ascii="Times New Roman" w:hAnsi="Times New Roman" w:cs="Times New Roman"/>
              </w:rPr>
              <w:t>乙苯苯乙烯装置加热炉低氮火嘴改造项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目、</w:t>
            </w:r>
            <w:r>
              <w:rPr>
                <w:rFonts w:hint="eastAsia" w:ascii="Times New Roman" w:hAnsi="Times New Roman" w:cs="Times New Roman"/>
              </w:rPr>
              <w:t>加</w:t>
            </w:r>
            <w:bookmarkStart w:id="1" w:name="_GoBack"/>
            <w:bookmarkEnd w:id="1"/>
            <w:r>
              <w:rPr>
                <w:rFonts w:hint="eastAsia" w:ascii="Times New Roman" w:hAnsi="Times New Roman" w:cs="Times New Roman"/>
              </w:rPr>
              <w:t>氢裂化加热炉低氮燃烧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改</w:t>
            </w:r>
            <w:r>
              <w:rPr>
                <w:rFonts w:hint="eastAsia" w:ascii="Times New Roman" w:hAnsi="Times New Roman" w:cs="Times New Roman"/>
              </w:rPr>
              <w:t>造项目和加氢处理反应加热炉低氮燃烧改造项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目；</w:t>
            </w:r>
            <w:r>
              <w:rPr>
                <w:rFonts w:hint="eastAsia" w:ascii="Times New Roman" w:hAnsi="Times New Roman" w:cs="Times New Roman"/>
              </w:rPr>
              <w:t>增加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了</w:t>
            </w:r>
            <w:r>
              <w:rPr>
                <w:rFonts w:hint="eastAsia" w:ascii="Times New Roman" w:hAnsi="Times New Roman" w:cs="Times New Roman"/>
              </w:rPr>
              <w:t>苯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乙</w:t>
            </w:r>
            <w:r>
              <w:rPr>
                <w:rFonts w:hint="eastAsia" w:ascii="Times New Roman" w:hAnsi="Times New Roman" w:cs="Times New Roman"/>
              </w:rPr>
              <w:t>烯含油污水排放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口</w:t>
            </w:r>
            <w:r>
              <w:rPr>
                <w:rFonts w:hint="eastAsia" w:ascii="Times New Roman" w:hAnsi="Times New Roman" w:cs="Times New Roman"/>
              </w:rPr>
              <w:t>(监测重金属的车间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设施排放口）；</w:t>
            </w:r>
            <w:r>
              <w:rPr>
                <w:rFonts w:hint="eastAsia" w:ascii="Times New Roman" w:hAnsi="Times New Roman" w:cs="Times New Roman"/>
              </w:rPr>
              <w:t>更新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了固体</w:t>
            </w:r>
            <w:r>
              <w:rPr>
                <w:rFonts w:hint="eastAsia" w:ascii="Times New Roman" w:hAnsi="Times New Roman" w:cs="Times New Roman"/>
              </w:rPr>
              <w:t>废物的相关信息及增加了噪声污染防治的相关信息</w:t>
            </w:r>
          </w:p>
        </w:tc>
        <w:tc>
          <w:tcPr>
            <w:tcW w:w="111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青岛市生态环境局</w:t>
            </w: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02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shd w:val="clear" w:color="auto" w:fill="FFFFFF"/>
                <w:lang w:val="en-US" w:eastAsia="zh-CN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.2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shd w:val="clear" w:color="auto" w:fill="FFFFFF"/>
                <w:lang w:val="en-US" w:eastAsia="zh-CN"/>
              </w:rPr>
              <w:t>7</w:t>
            </w:r>
          </w:p>
        </w:tc>
      </w:tr>
    </w:tbl>
    <w:p>
      <w:pPr>
        <w:rPr>
          <w:rFonts w:asciiTheme="minorEastAsia" w:hAnsiTheme="minorEastAsia"/>
          <w:color w:val="FF0000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711831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3F"/>
    <w:rsid w:val="00024985"/>
    <w:rsid w:val="00034EE5"/>
    <w:rsid w:val="0004035A"/>
    <w:rsid w:val="000415F2"/>
    <w:rsid w:val="000512BC"/>
    <w:rsid w:val="00051380"/>
    <w:rsid w:val="0005741D"/>
    <w:rsid w:val="000615C2"/>
    <w:rsid w:val="00075078"/>
    <w:rsid w:val="00081430"/>
    <w:rsid w:val="000901E6"/>
    <w:rsid w:val="000B3E73"/>
    <w:rsid w:val="000C32A5"/>
    <w:rsid w:val="000D13ED"/>
    <w:rsid w:val="000D4703"/>
    <w:rsid w:val="000E470E"/>
    <w:rsid w:val="000F387C"/>
    <w:rsid w:val="000F5568"/>
    <w:rsid w:val="000F5636"/>
    <w:rsid w:val="00101B55"/>
    <w:rsid w:val="00116DD1"/>
    <w:rsid w:val="001306A8"/>
    <w:rsid w:val="001357B5"/>
    <w:rsid w:val="00140B09"/>
    <w:rsid w:val="0014511D"/>
    <w:rsid w:val="001459B5"/>
    <w:rsid w:val="0016125F"/>
    <w:rsid w:val="00187C4E"/>
    <w:rsid w:val="00191B3F"/>
    <w:rsid w:val="0019366B"/>
    <w:rsid w:val="00196A47"/>
    <w:rsid w:val="001A68CA"/>
    <w:rsid w:val="001B036D"/>
    <w:rsid w:val="001C5F25"/>
    <w:rsid w:val="001D6EB9"/>
    <w:rsid w:val="001E2C35"/>
    <w:rsid w:val="001F6114"/>
    <w:rsid w:val="00212BEF"/>
    <w:rsid w:val="00226BB7"/>
    <w:rsid w:val="00246688"/>
    <w:rsid w:val="00253117"/>
    <w:rsid w:val="00254786"/>
    <w:rsid w:val="002634D6"/>
    <w:rsid w:val="00274E79"/>
    <w:rsid w:val="00280F8D"/>
    <w:rsid w:val="0028443C"/>
    <w:rsid w:val="00296B18"/>
    <w:rsid w:val="002B5127"/>
    <w:rsid w:val="002E1B44"/>
    <w:rsid w:val="002E666E"/>
    <w:rsid w:val="00303F82"/>
    <w:rsid w:val="003079D4"/>
    <w:rsid w:val="00342E63"/>
    <w:rsid w:val="00350F1E"/>
    <w:rsid w:val="00351D7E"/>
    <w:rsid w:val="00364484"/>
    <w:rsid w:val="00364E30"/>
    <w:rsid w:val="0036784C"/>
    <w:rsid w:val="00374893"/>
    <w:rsid w:val="00384C14"/>
    <w:rsid w:val="0038528F"/>
    <w:rsid w:val="00386B09"/>
    <w:rsid w:val="003904E8"/>
    <w:rsid w:val="003A34A4"/>
    <w:rsid w:val="003B68D3"/>
    <w:rsid w:val="003D4352"/>
    <w:rsid w:val="003F221F"/>
    <w:rsid w:val="003F2C6B"/>
    <w:rsid w:val="003F5985"/>
    <w:rsid w:val="00413AA9"/>
    <w:rsid w:val="0041601A"/>
    <w:rsid w:val="00421470"/>
    <w:rsid w:val="0042605E"/>
    <w:rsid w:val="00426721"/>
    <w:rsid w:val="00431752"/>
    <w:rsid w:val="0044032B"/>
    <w:rsid w:val="00466A83"/>
    <w:rsid w:val="004718C5"/>
    <w:rsid w:val="00484E7E"/>
    <w:rsid w:val="004974C0"/>
    <w:rsid w:val="004D58AA"/>
    <w:rsid w:val="004E2D01"/>
    <w:rsid w:val="004E39E6"/>
    <w:rsid w:val="004E55FE"/>
    <w:rsid w:val="004F0A1D"/>
    <w:rsid w:val="004F21BA"/>
    <w:rsid w:val="004F360C"/>
    <w:rsid w:val="004F4224"/>
    <w:rsid w:val="0051547B"/>
    <w:rsid w:val="00521663"/>
    <w:rsid w:val="005269F5"/>
    <w:rsid w:val="00533408"/>
    <w:rsid w:val="00553A9F"/>
    <w:rsid w:val="0055732D"/>
    <w:rsid w:val="00581248"/>
    <w:rsid w:val="005B70F1"/>
    <w:rsid w:val="005C7EEC"/>
    <w:rsid w:val="005D6D02"/>
    <w:rsid w:val="005F37AE"/>
    <w:rsid w:val="00641DAE"/>
    <w:rsid w:val="00656257"/>
    <w:rsid w:val="00664EE6"/>
    <w:rsid w:val="00680B2F"/>
    <w:rsid w:val="006A5630"/>
    <w:rsid w:val="006B244A"/>
    <w:rsid w:val="006C5F6F"/>
    <w:rsid w:val="00703373"/>
    <w:rsid w:val="0070358D"/>
    <w:rsid w:val="00714D1D"/>
    <w:rsid w:val="00721A76"/>
    <w:rsid w:val="00732A47"/>
    <w:rsid w:val="00747847"/>
    <w:rsid w:val="00767453"/>
    <w:rsid w:val="00770C72"/>
    <w:rsid w:val="00783128"/>
    <w:rsid w:val="00784A9D"/>
    <w:rsid w:val="00792AF6"/>
    <w:rsid w:val="007A17FA"/>
    <w:rsid w:val="007A43CB"/>
    <w:rsid w:val="007C7A3B"/>
    <w:rsid w:val="007D17D2"/>
    <w:rsid w:val="007E4B3E"/>
    <w:rsid w:val="00822EFB"/>
    <w:rsid w:val="00841182"/>
    <w:rsid w:val="00860FBF"/>
    <w:rsid w:val="008679EC"/>
    <w:rsid w:val="00880F47"/>
    <w:rsid w:val="00893AC8"/>
    <w:rsid w:val="00894A11"/>
    <w:rsid w:val="008A1C8A"/>
    <w:rsid w:val="008E46CF"/>
    <w:rsid w:val="008E7941"/>
    <w:rsid w:val="00917B8E"/>
    <w:rsid w:val="00933177"/>
    <w:rsid w:val="00935D0F"/>
    <w:rsid w:val="009406C1"/>
    <w:rsid w:val="009443BF"/>
    <w:rsid w:val="00974792"/>
    <w:rsid w:val="0098582F"/>
    <w:rsid w:val="00993049"/>
    <w:rsid w:val="00996BE2"/>
    <w:rsid w:val="00996E30"/>
    <w:rsid w:val="009B4DDD"/>
    <w:rsid w:val="009B528E"/>
    <w:rsid w:val="009F145B"/>
    <w:rsid w:val="009F43A6"/>
    <w:rsid w:val="009F5F63"/>
    <w:rsid w:val="00A07AC5"/>
    <w:rsid w:val="00A1266D"/>
    <w:rsid w:val="00A4389A"/>
    <w:rsid w:val="00A529D0"/>
    <w:rsid w:val="00A659DF"/>
    <w:rsid w:val="00A65C70"/>
    <w:rsid w:val="00A771E4"/>
    <w:rsid w:val="00A83DEE"/>
    <w:rsid w:val="00A94D0F"/>
    <w:rsid w:val="00AB7D81"/>
    <w:rsid w:val="00B479CC"/>
    <w:rsid w:val="00B7681A"/>
    <w:rsid w:val="00B8580D"/>
    <w:rsid w:val="00BB1215"/>
    <w:rsid w:val="00BC1E2F"/>
    <w:rsid w:val="00BD4CF1"/>
    <w:rsid w:val="00BE5275"/>
    <w:rsid w:val="00BE6C4F"/>
    <w:rsid w:val="00BF1B06"/>
    <w:rsid w:val="00BF2E7E"/>
    <w:rsid w:val="00C05A4C"/>
    <w:rsid w:val="00C05C94"/>
    <w:rsid w:val="00C31A1F"/>
    <w:rsid w:val="00C41C40"/>
    <w:rsid w:val="00C4748A"/>
    <w:rsid w:val="00C53DEB"/>
    <w:rsid w:val="00C60383"/>
    <w:rsid w:val="00CA2D1A"/>
    <w:rsid w:val="00CC5EA9"/>
    <w:rsid w:val="00CD15C3"/>
    <w:rsid w:val="00CD53B8"/>
    <w:rsid w:val="00CE370A"/>
    <w:rsid w:val="00CE5B8E"/>
    <w:rsid w:val="00CE680F"/>
    <w:rsid w:val="00CE701D"/>
    <w:rsid w:val="00D10795"/>
    <w:rsid w:val="00D22D3F"/>
    <w:rsid w:val="00D31A3E"/>
    <w:rsid w:val="00D354AA"/>
    <w:rsid w:val="00D36A8C"/>
    <w:rsid w:val="00D4792D"/>
    <w:rsid w:val="00D57551"/>
    <w:rsid w:val="00D70F11"/>
    <w:rsid w:val="00D8780C"/>
    <w:rsid w:val="00D96A33"/>
    <w:rsid w:val="00D97E90"/>
    <w:rsid w:val="00DB3F64"/>
    <w:rsid w:val="00DC0F64"/>
    <w:rsid w:val="00DC3FBC"/>
    <w:rsid w:val="00DE6AD4"/>
    <w:rsid w:val="00DF349E"/>
    <w:rsid w:val="00E05172"/>
    <w:rsid w:val="00E3039E"/>
    <w:rsid w:val="00E4368C"/>
    <w:rsid w:val="00E44F3F"/>
    <w:rsid w:val="00E45B75"/>
    <w:rsid w:val="00E50C47"/>
    <w:rsid w:val="00E71E55"/>
    <w:rsid w:val="00E815AA"/>
    <w:rsid w:val="00E922B2"/>
    <w:rsid w:val="00E94729"/>
    <w:rsid w:val="00EA4550"/>
    <w:rsid w:val="00EA75D9"/>
    <w:rsid w:val="00EC4D9F"/>
    <w:rsid w:val="00EC586E"/>
    <w:rsid w:val="00EE65E3"/>
    <w:rsid w:val="00EF0693"/>
    <w:rsid w:val="00F01FD5"/>
    <w:rsid w:val="00F14A7A"/>
    <w:rsid w:val="00F27FB4"/>
    <w:rsid w:val="00F46C48"/>
    <w:rsid w:val="00F51016"/>
    <w:rsid w:val="00F52B70"/>
    <w:rsid w:val="00F5325F"/>
    <w:rsid w:val="00F64FDB"/>
    <w:rsid w:val="00FA3CDE"/>
    <w:rsid w:val="00FA77FF"/>
    <w:rsid w:val="00FF5375"/>
    <w:rsid w:val="033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line="360" w:lineRule="auto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line="360" w:lineRule="auto"/>
      <w:outlineLvl w:val="1"/>
    </w:pPr>
    <w:rPr>
      <w:rFonts w:eastAsia="黑体" w:asciiTheme="majorHAnsi" w:hAnsiTheme="majorHAnsi" w:cstheme="majorBidi"/>
      <w:bCs/>
      <w:sz w:val="28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line="360" w:lineRule="auto"/>
      <w:outlineLvl w:val="2"/>
    </w:pPr>
    <w:rPr>
      <w:rFonts w:eastAsia="黑体"/>
      <w:bCs/>
      <w:sz w:val="28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  <w:ind w:left="420" w:leftChars="200"/>
    </w:p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Char"/>
    <w:basedOn w:val="13"/>
    <w:link w:val="2"/>
    <w:qFormat/>
    <w:uiPriority w:val="0"/>
    <w:rPr>
      <w:rFonts w:eastAsia="黑体"/>
      <w:bCs/>
      <w:kern w:val="44"/>
      <w:sz w:val="32"/>
      <w:szCs w:val="44"/>
    </w:rPr>
  </w:style>
  <w:style w:type="character" w:customStyle="1" w:styleId="16">
    <w:name w:val="标题 2 Char"/>
    <w:basedOn w:val="13"/>
    <w:link w:val="3"/>
    <w:qFormat/>
    <w:uiPriority w:val="0"/>
    <w:rPr>
      <w:rFonts w:eastAsia="黑体" w:asciiTheme="majorHAnsi" w:hAnsiTheme="majorHAnsi" w:cstheme="majorBidi"/>
      <w:bCs/>
      <w:sz w:val="28"/>
      <w:szCs w:val="32"/>
    </w:rPr>
  </w:style>
  <w:style w:type="character" w:customStyle="1" w:styleId="17">
    <w:name w:val="标题 3 Char"/>
    <w:basedOn w:val="13"/>
    <w:link w:val="4"/>
    <w:qFormat/>
    <w:uiPriority w:val="9"/>
    <w:rPr>
      <w:rFonts w:eastAsia="黑体"/>
      <w:bCs/>
      <w:sz w:val="28"/>
      <w:szCs w:val="32"/>
    </w:rPr>
  </w:style>
  <w:style w:type="character" w:customStyle="1" w:styleId="18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3"/>
    <w:link w:val="7"/>
    <w:uiPriority w:val="99"/>
    <w:rPr>
      <w:sz w:val="18"/>
      <w:szCs w:val="18"/>
    </w:rPr>
  </w:style>
  <w:style w:type="paragraph" w:customStyle="1" w:styleId="20">
    <w:name w:val="表格"/>
    <w:basedOn w:val="1"/>
    <w:qFormat/>
    <w:uiPriority w:val="0"/>
    <w:pPr>
      <w:adjustRightInd w:val="0"/>
      <w:snapToGrid w:val="0"/>
      <w:jc w:val="center"/>
    </w:pPr>
    <w:rPr>
      <w:rFonts w:ascii="Times New Roman" w:hAnsi="Times New Roman" w:eastAsia="楷体_GB2312" w:cs="Times New Roman"/>
      <w:sz w:val="18"/>
      <w:szCs w:val="18"/>
    </w:rPr>
  </w:style>
  <w:style w:type="table" w:customStyle="1" w:styleId="21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Cs w:val="32"/>
    </w:rPr>
  </w:style>
  <w:style w:type="character" w:customStyle="1" w:styleId="23">
    <w:name w:val="批注框文本 Char"/>
    <w:basedOn w:val="13"/>
    <w:link w:val="6"/>
    <w:semiHidden/>
    <w:qFormat/>
    <w:uiPriority w:val="99"/>
    <w:rPr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8D04AFC0188EC4789EEBDD1134C6B87" ma:contentTypeVersion="1" ma:contentTypeDescription="新建文档。" ma:contentTypeScope="" ma:versionID="89a610099db742625742e9c71a1bdf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33BEF-A617-4B98-B89D-81292B105972}"/>
</file>

<file path=customXml/itemProps2.xml><?xml version="1.0" encoding="utf-8"?>
<ds:datastoreItem xmlns:ds="http://schemas.openxmlformats.org/officeDocument/2006/customXml" ds:itemID="{395EDF1E-0FB6-4E5E-95B3-FCDD7A9BEFC3}"/>
</file>

<file path=customXml/itemProps3.xml><?xml version="1.0" encoding="utf-8"?>
<ds:datastoreItem xmlns:ds="http://schemas.openxmlformats.org/officeDocument/2006/customXml" ds:itemID="{43D03801-1FDC-4B49-80F6-B08770BDE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</Words>
  <Characters>570</Characters>
  <Lines>4</Lines>
  <Paragraphs>1</Paragraphs>
  <TotalTime>1780</TotalTime>
  <ScaleCrop>false</ScaleCrop>
  <LinksUpToDate>false</LinksUpToDate>
  <CharactersWithSpaces>668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张常兴</dc:creator>
  <cp:lastModifiedBy>admin</cp:lastModifiedBy>
  <cp:revision>292</cp:revision>
  <cp:lastPrinted>2022-03-31T02:48:00Z</cp:lastPrinted>
  <dcterms:created xsi:type="dcterms:W3CDTF">2022-01-11T03:28:00Z</dcterms:created>
  <dcterms:modified xsi:type="dcterms:W3CDTF">2024-01-15T02:16:47Z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0x01010068D04AFC0188EC4789EEBDD1134C6B87</vt:lpwstr>
  </property>
  <property fmtid="{D5CDD505-2E9C-101B-9397-08002B2CF9AE}" pid="3" name="KSOProductBuildVer">
    <vt:lpwstr>2052-11.8.2.12085</vt:lpwstr>
  </property>
  <property fmtid="{D5CDD505-2E9C-101B-9397-08002B2CF9AE}" pid="4" name="ICV">
    <vt:lpwstr>0FE0FD57901E49DD851F2BDC6C4BFC56</vt:lpwstr>
  </property>
</Properties>
</file>