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2F" w:rsidRDefault="00594F2F">
      <w:pPr>
        <w:spacing w:line="360" w:lineRule="auto"/>
        <w:contextualSpacing/>
        <w:jc w:val="center"/>
        <w:rPr>
          <w:rFonts w:ascii="黑体" w:eastAsia="黑体" w:hAnsi="黑体"/>
          <w:b/>
          <w:sz w:val="36"/>
          <w:szCs w:val="36"/>
        </w:rPr>
      </w:pPr>
      <w:r>
        <w:rPr>
          <w:rFonts w:ascii="黑体" w:eastAsia="黑体" w:hAnsi="黑体" w:hint="eastAsia"/>
          <w:b/>
          <w:sz w:val="36"/>
          <w:szCs w:val="36"/>
        </w:rPr>
        <w:t>中国石化青岛炼油化工有限责任公司</w:t>
      </w:r>
    </w:p>
    <w:p w:rsidR="00AF0579" w:rsidRDefault="00312604">
      <w:pPr>
        <w:spacing w:line="360" w:lineRule="auto"/>
        <w:contextualSpacing/>
        <w:jc w:val="center"/>
        <w:rPr>
          <w:rFonts w:ascii="黑体" w:eastAsia="黑体" w:hAnsi="黑体"/>
          <w:b/>
          <w:sz w:val="36"/>
          <w:szCs w:val="36"/>
        </w:rPr>
      </w:pPr>
      <w:r>
        <w:rPr>
          <w:rFonts w:ascii="黑体" w:eastAsia="黑体" w:hAnsi="黑体" w:hint="eastAsia"/>
          <w:b/>
          <w:sz w:val="36"/>
          <w:szCs w:val="36"/>
        </w:rPr>
        <w:t>清洁生产审核信息公示</w:t>
      </w:r>
    </w:p>
    <w:p w:rsidR="00AF0579" w:rsidRDefault="00AF0579">
      <w:pPr>
        <w:adjustRightInd w:val="0"/>
        <w:spacing w:line="360" w:lineRule="auto"/>
        <w:ind w:firstLineChars="200" w:firstLine="643"/>
        <w:contextualSpacing/>
        <w:rPr>
          <w:rFonts w:ascii="仿宋_GB2312" w:eastAsia="仿宋_GB2312"/>
          <w:b/>
          <w:sz w:val="32"/>
          <w:szCs w:val="32"/>
        </w:rPr>
      </w:pPr>
    </w:p>
    <w:p w:rsidR="00AF0579" w:rsidRDefault="00312604">
      <w:pPr>
        <w:adjustRightInd w:val="0"/>
        <w:spacing w:line="360" w:lineRule="auto"/>
        <w:ind w:firstLineChars="200" w:firstLine="643"/>
        <w:contextualSpacing/>
        <w:rPr>
          <w:rFonts w:ascii="仿宋_GB2312" w:eastAsia="仿宋_GB2312" w:hAnsi="Calibri" w:cs="Times New Roman"/>
          <w:b/>
          <w:sz w:val="32"/>
          <w:szCs w:val="32"/>
        </w:rPr>
      </w:pPr>
      <w:r>
        <w:rPr>
          <w:rFonts w:ascii="仿宋_GB2312" w:eastAsia="仿宋_GB2312" w:hint="eastAsia"/>
          <w:b/>
          <w:sz w:val="32"/>
          <w:szCs w:val="32"/>
        </w:rPr>
        <w:t>为持续</w:t>
      </w:r>
      <w:r>
        <w:rPr>
          <w:rFonts w:ascii="仿宋_GB2312" w:eastAsia="仿宋_GB2312" w:hAnsi="Calibri" w:cs="Times New Roman" w:hint="eastAsia"/>
          <w:b/>
          <w:sz w:val="32"/>
          <w:szCs w:val="32"/>
        </w:rPr>
        <w:t>推进节能减排、提高资源利用效率，努力构建资源节约型、环境友好型企业，促进企业可持续发展</w:t>
      </w:r>
      <w:r>
        <w:rPr>
          <w:rFonts w:ascii="仿宋_GB2312" w:eastAsia="仿宋_GB2312" w:hint="eastAsia"/>
          <w:b/>
          <w:sz w:val="32"/>
          <w:szCs w:val="32"/>
        </w:rPr>
        <w:t>，我公司自2020年5月开始全面启动清洁生产审核工作。</w:t>
      </w:r>
    </w:p>
    <w:p w:rsidR="00AF0579" w:rsidRDefault="00312604">
      <w:pPr>
        <w:spacing w:line="360" w:lineRule="auto"/>
        <w:ind w:firstLineChars="200" w:firstLine="643"/>
        <w:contextualSpacing/>
        <w:rPr>
          <w:rFonts w:ascii="仿宋_GB2312" w:eastAsia="仿宋_GB2312"/>
          <w:b/>
          <w:sz w:val="32"/>
          <w:szCs w:val="32"/>
        </w:rPr>
      </w:pPr>
      <w:r>
        <w:rPr>
          <w:rFonts w:ascii="仿宋_GB2312" w:eastAsia="仿宋_GB2312" w:hint="eastAsia"/>
          <w:b/>
          <w:sz w:val="32"/>
          <w:szCs w:val="32"/>
        </w:rPr>
        <w:t>根据《中华人民共和国清洁生产促进法》、《清洁生产审核办法》以及《关于下达2020年度山东省实施强制性清洁生产审核企业名单的通知》（鲁环函[2020]152号)的要求，将我公司的相关信息公示如下，请社会各界对我公司实施清洁生产审核的情况进行监督。</w:t>
      </w:r>
    </w:p>
    <w:tbl>
      <w:tblPr>
        <w:tblStyle w:val="a7"/>
        <w:tblW w:w="8562" w:type="dxa"/>
        <w:jc w:val="center"/>
        <w:tblLook w:val="04A0" w:firstRow="1" w:lastRow="0" w:firstColumn="1" w:lastColumn="0" w:noHBand="0" w:noVBand="1"/>
      </w:tblPr>
      <w:tblGrid>
        <w:gridCol w:w="1668"/>
        <w:gridCol w:w="1216"/>
        <w:gridCol w:w="1288"/>
        <w:gridCol w:w="248"/>
        <w:gridCol w:w="1378"/>
        <w:gridCol w:w="1418"/>
        <w:gridCol w:w="1346"/>
      </w:tblGrid>
      <w:tr w:rsidR="00AF0579">
        <w:trPr>
          <w:trHeight w:val="462"/>
          <w:jc w:val="center"/>
        </w:trPr>
        <w:tc>
          <w:tcPr>
            <w:tcW w:w="1668" w:type="dxa"/>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b/>
                <w:sz w:val="24"/>
                <w:szCs w:val="24"/>
              </w:rPr>
              <w:t>企业名称</w:t>
            </w:r>
          </w:p>
        </w:tc>
        <w:tc>
          <w:tcPr>
            <w:tcW w:w="4130" w:type="dxa"/>
            <w:gridSpan w:val="4"/>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中国石化青岛炼油化工有限责任公司</w:t>
            </w:r>
          </w:p>
        </w:tc>
        <w:tc>
          <w:tcPr>
            <w:tcW w:w="1418" w:type="dxa"/>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法人代表</w:t>
            </w:r>
          </w:p>
        </w:tc>
        <w:tc>
          <w:tcPr>
            <w:tcW w:w="1346" w:type="dxa"/>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赵培录</w:t>
            </w:r>
          </w:p>
        </w:tc>
      </w:tr>
      <w:tr w:rsidR="00AF0579">
        <w:trPr>
          <w:trHeight w:val="473"/>
          <w:jc w:val="center"/>
        </w:trPr>
        <w:tc>
          <w:tcPr>
            <w:tcW w:w="1668" w:type="dxa"/>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企业所在地</w:t>
            </w:r>
          </w:p>
        </w:tc>
        <w:tc>
          <w:tcPr>
            <w:tcW w:w="6894" w:type="dxa"/>
            <w:gridSpan w:val="6"/>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山东省青岛市黄岛区（开发区）千山南路827号</w:t>
            </w:r>
          </w:p>
        </w:tc>
      </w:tr>
      <w:tr w:rsidR="00AF0579">
        <w:trPr>
          <w:trHeight w:val="119"/>
          <w:jc w:val="center"/>
        </w:trPr>
        <w:tc>
          <w:tcPr>
            <w:tcW w:w="1668" w:type="dxa"/>
            <w:tcBorders>
              <w:bottom w:val="single" w:sz="4" w:space="0" w:color="auto"/>
            </w:tcBorders>
            <w:vAlign w:val="center"/>
          </w:tcPr>
          <w:p w:rsidR="00AF0579" w:rsidRDefault="00312604">
            <w:pPr>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联系人</w:t>
            </w:r>
          </w:p>
        </w:tc>
        <w:tc>
          <w:tcPr>
            <w:tcW w:w="2504" w:type="dxa"/>
            <w:gridSpan w:val="2"/>
            <w:tcBorders>
              <w:bottom w:val="single" w:sz="4" w:space="0" w:color="auto"/>
              <w:right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陈聪</w:t>
            </w:r>
          </w:p>
        </w:tc>
        <w:tc>
          <w:tcPr>
            <w:tcW w:w="1626" w:type="dxa"/>
            <w:gridSpan w:val="2"/>
            <w:tcBorders>
              <w:left w:val="single" w:sz="4" w:space="0" w:color="auto"/>
              <w:bottom w:val="single" w:sz="4" w:space="0" w:color="auto"/>
            </w:tcBorders>
            <w:vAlign w:val="center"/>
          </w:tcPr>
          <w:p w:rsidR="00AF0579" w:rsidRDefault="00312604">
            <w:pPr>
              <w:spacing w:before="100" w:beforeAutospacing="1" w:after="100" w:afterAutospacing="1" w:line="360" w:lineRule="auto"/>
              <w:jc w:val="center"/>
              <w:rPr>
                <w:rFonts w:ascii="仿宋_GB2312" w:eastAsia="仿宋_GB2312"/>
                <w:sz w:val="24"/>
                <w:szCs w:val="24"/>
              </w:rPr>
            </w:pPr>
            <w:r>
              <w:rPr>
                <w:rFonts w:ascii="仿宋_GB2312" w:eastAsia="仿宋_GB2312" w:hint="eastAsia"/>
                <w:b/>
                <w:sz w:val="24"/>
                <w:szCs w:val="24"/>
              </w:rPr>
              <w:t>联系电话</w:t>
            </w:r>
          </w:p>
        </w:tc>
        <w:tc>
          <w:tcPr>
            <w:tcW w:w="2764" w:type="dxa"/>
            <w:gridSpan w:val="2"/>
            <w:tcBorders>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053286915890</w:t>
            </w:r>
          </w:p>
        </w:tc>
      </w:tr>
      <w:tr w:rsidR="00AF0579">
        <w:trPr>
          <w:trHeight w:val="345"/>
          <w:jc w:val="center"/>
        </w:trPr>
        <w:tc>
          <w:tcPr>
            <w:tcW w:w="1668" w:type="dxa"/>
            <w:vMerge w:val="restart"/>
            <w:tcBorders>
              <w:top w:val="single" w:sz="4" w:space="0" w:color="auto"/>
            </w:tcBorders>
            <w:vAlign w:val="center"/>
          </w:tcPr>
          <w:p w:rsidR="00AF0579" w:rsidRDefault="00312604">
            <w:pPr>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有毒有害原料</w:t>
            </w:r>
            <w:r w:rsidR="00594F2F">
              <w:rPr>
                <w:rFonts w:ascii="仿宋_GB2312" w:eastAsia="仿宋_GB2312" w:hint="eastAsia"/>
                <w:b/>
                <w:sz w:val="24"/>
                <w:szCs w:val="24"/>
              </w:rPr>
              <w:t>使用情况</w:t>
            </w:r>
          </w:p>
        </w:tc>
        <w:tc>
          <w:tcPr>
            <w:tcW w:w="4130" w:type="dxa"/>
            <w:gridSpan w:val="4"/>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名称</w:t>
            </w:r>
          </w:p>
        </w:tc>
        <w:tc>
          <w:tcPr>
            <w:tcW w:w="1418" w:type="dxa"/>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数量</w:t>
            </w:r>
          </w:p>
        </w:tc>
        <w:tc>
          <w:tcPr>
            <w:tcW w:w="1346" w:type="dxa"/>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用途</w:t>
            </w:r>
          </w:p>
        </w:tc>
      </w:tr>
      <w:tr w:rsidR="00AF0579">
        <w:trPr>
          <w:trHeight w:val="580"/>
          <w:jc w:val="center"/>
        </w:trPr>
        <w:tc>
          <w:tcPr>
            <w:tcW w:w="1668" w:type="dxa"/>
            <w:vMerge/>
            <w:vAlign w:val="center"/>
          </w:tcPr>
          <w:p w:rsidR="00AF0579" w:rsidRDefault="00AF0579">
            <w:pPr>
              <w:spacing w:before="100" w:beforeAutospacing="1" w:after="100" w:afterAutospacing="1" w:line="360" w:lineRule="auto"/>
              <w:jc w:val="center"/>
              <w:rPr>
                <w:rFonts w:ascii="仿宋_GB2312" w:eastAsia="仿宋_GB2312"/>
                <w:b/>
                <w:sz w:val="24"/>
                <w:szCs w:val="24"/>
              </w:rPr>
            </w:pPr>
          </w:p>
        </w:tc>
        <w:tc>
          <w:tcPr>
            <w:tcW w:w="4130" w:type="dxa"/>
            <w:gridSpan w:val="4"/>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原油</w:t>
            </w:r>
          </w:p>
        </w:tc>
        <w:tc>
          <w:tcPr>
            <w:tcW w:w="1418" w:type="dxa"/>
            <w:tcBorders>
              <w:top w:val="single" w:sz="4" w:space="0" w:color="auto"/>
            </w:tcBorders>
            <w:vAlign w:val="center"/>
          </w:tcPr>
          <w:p w:rsidR="00AF0579" w:rsidRDefault="00594F2F">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931</w:t>
            </w:r>
            <w:r w:rsidR="00312604">
              <w:rPr>
                <w:rFonts w:ascii="仿宋_GB2312" w:eastAsia="仿宋_GB2312" w:hint="eastAsia"/>
                <w:sz w:val="24"/>
                <w:szCs w:val="24"/>
              </w:rPr>
              <w:t>万吨</w:t>
            </w:r>
          </w:p>
        </w:tc>
        <w:tc>
          <w:tcPr>
            <w:tcW w:w="1346"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原料</w:t>
            </w:r>
          </w:p>
        </w:tc>
      </w:tr>
      <w:tr w:rsidR="00AF0579">
        <w:trPr>
          <w:trHeight w:val="499"/>
          <w:jc w:val="center"/>
        </w:trPr>
        <w:tc>
          <w:tcPr>
            <w:tcW w:w="1668" w:type="dxa"/>
            <w:vMerge w:val="restart"/>
            <w:vAlign w:val="center"/>
          </w:tcPr>
          <w:p w:rsidR="00594F2F" w:rsidRDefault="00594F2F" w:rsidP="00594F2F">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b/>
                <w:sz w:val="24"/>
                <w:szCs w:val="24"/>
              </w:rPr>
              <w:t>污染物排放情况</w:t>
            </w:r>
          </w:p>
        </w:tc>
        <w:tc>
          <w:tcPr>
            <w:tcW w:w="1216" w:type="dxa"/>
            <w:tcBorders>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名称</w:t>
            </w:r>
          </w:p>
        </w:tc>
        <w:tc>
          <w:tcPr>
            <w:tcW w:w="1536" w:type="dxa"/>
            <w:gridSpan w:val="2"/>
            <w:tcBorders>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污染物种类</w:t>
            </w:r>
          </w:p>
        </w:tc>
        <w:tc>
          <w:tcPr>
            <w:tcW w:w="1378" w:type="dxa"/>
            <w:tcBorders>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排放方式</w:t>
            </w:r>
          </w:p>
        </w:tc>
        <w:tc>
          <w:tcPr>
            <w:tcW w:w="1418" w:type="dxa"/>
            <w:tcBorders>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数量（吨）</w:t>
            </w:r>
          </w:p>
        </w:tc>
        <w:tc>
          <w:tcPr>
            <w:tcW w:w="1346" w:type="dxa"/>
            <w:tcBorders>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是否超总量指标</w:t>
            </w:r>
          </w:p>
        </w:tc>
      </w:tr>
      <w:tr w:rsidR="00AF0579">
        <w:trPr>
          <w:trHeight w:val="351"/>
          <w:jc w:val="center"/>
        </w:trPr>
        <w:tc>
          <w:tcPr>
            <w:tcW w:w="1668" w:type="dxa"/>
            <w:vMerge/>
            <w:vAlign w:val="center"/>
          </w:tcPr>
          <w:p w:rsidR="00AF0579" w:rsidRDefault="00AF0579">
            <w:pPr>
              <w:widowControl/>
              <w:spacing w:before="100" w:beforeAutospacing="1" w:after="100" w:afterAutospacing="1" w:line="360" w:lineRule="auto"/>
              <w:jc w:val="center"/>
              <w:rPr>
                <w:rFonts w:ascii="仿宋_GB2312" w:eastAsia="仿宋_GB2312"/>
                <w:b/>
                <w:sz w:val="24"/>
                <w:szCs w:val="24"/>
              </w:rPr>
            </w:pPr>
          </w:p>
        </w:tc>
        <w:tc>
          <w:tcPr>
            <w:tcW w:w="1216" w:type="dxa"/>
            <w:vMerge w:val="restart"/>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废水</w:t>
            </w:r>
          </w:p>
        </w:tc>
        <w:tc>
          <w:tcPr>
            <w:tcW w:w="1536" w:type="dxa"/>
            <w:gridSpan w:val="2"/>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化学需氧量</w:t>
            </w:r>
          </w:p>
        </w:tc>
        <w:tc>
          <w:tcPr>
            <w:tcW w:w="1378" w:type="dxa"/>
            <w:vMerge w:val="restart"/>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排放至镰湾河水质净化厂</w:t>
            </w:r>
          </w:p>
        </w:tc>
        <w:tc>
          <w:tcPr>
            <w:tcW w:w="1418" w:type="dxa"/>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102.56</w:t>
            </w:r>
          </w:p>
        </w:tc>
        <w:tc>
          <w:tcPr>
            <w:tcW w:w="1346" w:type="dxa"/>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否</w:t>
            </w:r>
          </w:p>
        </w:tc>
      </w:tr>
      <w:tr w:rsidR="00AF0579">
        <w:trPr>
          <w:trHeight w:val="226"/>
          <w:jc w:val="center"/>
        </w:trPr>
        <w:tc>
          <w:tcPr>
            <w:tcW w:w="1668" w:type="dxa"/>
            <w:vMerge/>
            <w:vAlign w:val="center"/>
          </w:tcPr>
          <w:p w:rsidR="00AF0579" w:rsidRDefault="00AF0579">
            <w:pPr>
              <w:widowControl/>
              <w:spacing w:before="100" w:beforeAutospacing="1" w:after="100" w:afterAutospacing="1" w:line="360" w:lineRule="auto"/>
              <w:jc w:val="center"/>
              <w:rPr>
                <w:rFonts w:ascii="仿宋_GB2312" w:eastAsia="仿宋_GB2312"/>
                <w:b/>
                <w:sz w:val="24"/>
                <w:szCs w:val="24"/>
              </w:rPr>
            </w:pPr>
          </w:p>
        </w:tc>
        <w:tc>
          <w:tcPr>
            <w:tcW w:w="1216" w:type="dxa"/>
            <w:vMerge/>
            <w:tcBorders>
              <w:bottom w:val="single" w:sz="4" w:space="0" w:color="auto"/>
            </w:tcBorders>
            <w:vAlign w:val="center"/>
          </w:tcPr>
          <w:p w:rsidR="00AF0579" w:rsidRDefault="00AF0579">
            <w:pPr>
              <w:widowControl/>
              <w:spacing w:before="100" w:beforeAutospacing="1" w:after="100" w:afterAutospacing="1" w:line="360" w:lineRule="auto"/>
              <w:jc w:val="center"/>
              <w:rPr>
                <w:rFonts w:ascii="仿宋_GB2312" w:eastAsia="仿宋_GB2312"/>
                <w:sz w:val="24"/>
                <w:szCs w:val="24"/>
              </w:rPr>
            </w:pPr>
          </w:p>
        </w:tc>
        <w:tc>
          <w:tcPr>
            <w:tcW w:w="1536" w:type="dxa"/>
            <w:gridSpan w:val="2"/>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氨氮</w:t>
            </w:r>
          </w:p>
        </w:tc>
        <w:tc>
          <w:tcPr>
            <w:tcW w:w="1378" w:type="dxa"/>
            <w:vMerge/>
            <w:tcBorders>
              <w:bottom w:val="single" w:sz="4" w:space="0" w:color="auto"/>
            </w:tcBorders>
            <w:vAlign w:val="center"/>
          </w:tcPr>
          <w:p w:rsidR="00AF0579" w:rsidRDefault="00AF0579">
            <w:pPr>
              <w:widowControl/>
              <w:spacing w:before="100" w:beforeAutospacing="1" w:after="100" w:afterAutospacing="1" w:line="360" w:lineRule="auto"/>
              <w:jc w:val="center"/>
              <w:rPr>
                <w:rFonts w:ascii="仿宋_GB2312" w:eastAsia="仿宋_GB2312"/>
                <w:sz w:val="24"/>
                <w:szCs w:val="24"/>
              </w:rPr>
            </w:pPr>
          </w:p>
        </w:tc>
        <w:tc>
          <w:tcPr>
            <w:tcW w:w="1418" w:type="dxa"/>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7.24</w:t>
            </w:r>
          </w:p>
        </w:tc>
        <w:tc>
          <w:tcPr>
            <w:tcW w:w="1346" w:type="dxa"/>
            <w:tcBorders>
              <w:top w:val="single" w:sz="4" w:space="0" w:color="auto"/>
              <w:bottom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否</w:t>
            </w:r>
          </w:p>
        </w:tc>
      </w:tr>
      <w:tr w:rsidR="00AF0579">
        <w:trPr>
          <w:trHeight w:val="230"/>
          <w:jc w:val="center"/>
        </w:trPr>
        <w:tc>
          <w:tcPr>
            <w:tcW w:w="1668" w:type="dxa"/>
            <w:vMerge/>
            <w:vAlign w:val="center"/>
          </w:tcPr>
          <w:p w:rsidR="00AF0579" w:rsidRDefault="00AF0579">
            <w:pPr>
              <w:widowControl/>
              <w:spacing w:before="100" w:beforeAutospacing="1" w:after="100" w:afterAutospacing="1" w:line="360" w:lineRule="auto"/>
              <w:jc w:val="center"/>
              <w:rPr>
                <w:rFonts w:ascii="仿宋_GB2312" w:eastAsia="仿宋_GB2312"/>
                <w:b/>
                <w:sz w:val="24"/>
                <w:szCs w:val="24"/>
              </w:rPr>
            </w:pPr>
          </w:p>
        </w:tc>
        <w:tc>
          <w:tcPr>
            <w:tcW w:w="1216" w:type="dxa"/>
            <w:vMerge w:val="restart"/>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废气</w:t>
            </w:r>
          </w:p>
        </w:tc>
        <w:tc>
          <w:tcPr>
            <w:tcW w:w="1536" w:type="dxa"/>
            <w:gridSpan w:val="2"/>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二氧化硫</w:t>
            </w:r>
          </w:p>
        </w:tc>
        <w:tc>
          <w:tcPr>
            <w:tcW w:w="1378" w:type="dxa"/>
            <w:vMerge w:val="restart"/>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直接排放至大气环境</w:t>
            </w:r>
          </w:p>
        </w:tc>
        <w:tc>
          <w:tcPr>
            <w:tcW w:w="1418"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119.639</w:t>
            </w:r>
          </w:p>
        </w:tc>
        <w:tc>
          <w:tcPr>
            <w:tcW w:w="1346"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否</w:t>
            </w:r>
          </w:p>
        </w:tc>
      </w:tr>
      <w:tr w:rsidR="00AF0579">
        <w:trPr>
          <w:trHeight w:val="230"/>
          <w:jc w:val="center"/>
        </w:trPr>
        <w:tc>
          <w:tcPr>
            <w:tcW w:w="1668" w:type="dxa"/>
            <w:vMerge/>
            <w:vAlign w:val="center"/>
          </w:tcPr>
          <w:p w:rsidR="00AF0579" w:rsidRDefault="00AF0579">
            <w:pPr>
              <w:widowControl/>
              <w:spacing w:before="100" w:beforeAutospacing="1" w:after="100" w:afterAutospacing="1" w:line="360" w:lineRule="auto"/>
              <w:jc w:val="center"/>
              <w:rPr>
                <w:rFonts w:ascii="仿宋_GB2312" w:eastAsia="仿宋_GB2312"/>
                <w:b/>
                <w:sz w:val="24"/>
                <w:szCs w:val="24"/>
              </w:rPr>
            </w:pPr>
          </w:p>
        </w:tc>
        <w:tc>
          <w:tcPr>
            <w:tcW w:w="1216" w:type="dxa"/>
            <w:vMerge/>
            <w:vAlign w:val="center"/>
          </w:tcPr>
          <w:p w:rsidR="00AF0579" w:rsidRDefault="00AF0579">
            <w:pPr>
              <w:widowControl/>
              <w:spacing w:before="100" w:beforeAutospacing="1" w:after="100" w:afterAutospacing="1" w:line="360" w:lineRule="auto"/>
              <w:jc w:val="center"/>
              <w:rPr>
                <w:rFonts w:ascii="仿宋_GB2312" w:eastAsia="仿宋_GB2312"/>
                <w:sz w:val="24"/>
                <w:szCs w:val="24"/>
              </w:rPr>
            </w:pPr>
          </w:p>
        </w:tc>
        <w:tc>
          <w:tcPr>
            <w:tcW w:w="1536" w:type="dxa"/>
            <w:gridSpan w:val="2"/>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氮氧化物</w:t>
            </w:r>
          </w:p>
        </w:tc>
        <w:tc>
          <w:tcPr>
            <w:tcW w:w="1378" w:type="dxa"/>
            <w:vMerge/>
            <w:vAlign w:val="center"/>
          </w:tcPr>
          <w:p w:rsidR="00AF0579" w:rsidRDefault="00AF0579">
            <w:pPr>
              <w:widowControl/>
              <w:spacing w:before="100" w:beforeAutospacing="1" w:after="100" w:afterAutospacing="1" w:line="360" w:lineRule="auto"/>
              <w:jc w:val="center"/>
              <w:rPr>
                <w:rFonts w:ascii="仿宋_GB2312" w:eastAsia="仿宋_GB2312"/>
                <w:sz w:val="24"/>
                <w:szCs w:val="24"/>
              </w:rPr>
            </w:pPr>
          </w:p>
        </w:tc>
        <w:tc>
          <w:tcPr>
            <w:tcW w:w="1418"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507.97</w:t>
            </w:r>
          </w:p>
        </w:tc>
        <w:tc>
          <w:tcPr>
            <w:tcW w:w="1346"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否</w:t>
            </w:r>
          </w:p>
        </w:tc>
      </w:tr>
      <w:tr w:rsidR="00AF0579">
        <w:trPr>
          <w:trHeight w:val="230"/>
          <w:jc w:val="center"/>
        </w:trPr>
        <w:tc>
          <w:tcPr>
            <w:tcW w:w="1668" w:type="dxa"/>
            <w:vMerge/>
            <w:vAlign w:val="center"/>
          </w:tcPr>
          <w:p w:rsidR="00AF0579" w:rsidRDefault="00AF0579">
            <w:pPr>
              <w:widowControl/>
              <w:spacing w:before="100" w:beforeAutospacing="1" w:after="100" w:afterAutospacing="1" w:line="360" w:lineRule="auto"/>
              <w:jc w:val="center"/>
              <w:rPr>
                <w:rFonts w:ascii="仿宋_GB2312" w:eastAsia="仿宋_GB2312"/>
                <w:b/>
                <w:sz w:val="24"/>
                <w:szCs w:val="24"/>
              </w:rPr>
            </w:pPr>
          </w:p>
        </w:tc>
        <w:tc>
          <w:tcPr>
            <w:tcW w:w="1216" w:type="dxa"/>
            <w:vMerge/>
            <w:vAlign w:val="center"/>
          </w:tcPr>
          <w:p w:rsidR="00AF0579" w:rsidRDefault="00AF0579">
            <w:pPr>
              <w:widowControl/>
              <w:spacing w:before="100" w:beforeAutospacing="1" w:after="100" w:afterAutospacing="1" w:line="360" w:lineRule="auto"/>
              <w:jc w:val="center"/>
              <w:rPr>
                <w:rFonts w:ascii="仿宋_GB2312" w:eastAsia="仿宋_GB2312"/>
                <w:sz w:val="24"/>
                <w:szCs w:val="24"/>
              </w:rPr>
            </w:pPr>
          </w:p>
        </w:tc>
        <w:tc>
          <w:tcPr>
            <w:tcW w:w="1536" w:type="dxa"/>
            <w:gridSpan w:val="2"/>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颗粒物</w:t>
            </w:r>
          </w:p>
        </w:tc>
        <w:tc>
          <w:tcPr>
            <w:tcW w:w="1378" w:type="dxa"/>
            <w:vMerge/>
            <w:vAlign w:val="center"/>
          </w:tcPr>
          <w:p w:rsidR="00AF0579" w:rsidRDefault="00AF0579">
            <w:pPr>
              <w:widowControl/>
              <w:spacing w:before="100" w:beforeAutospacing="1" w:after="100" w:afterAutospacing="1" w:line="360" w:lineRule="auto"/>
              <w:jc w:val="center"/>
              <w:rPr>
                <w:rFonts w:ascii="仿宋_GB2312" w:eastAsia="仿宋_GB2312"/>
                <w:sz w:val="24"/>
                <w:szCs w:val="24"/>
              </w:rPr>
            </w:pPr>
          </w:p>
        </w:tc>
        <w:tc>
          <w:tcPr>
            <w:tcW w:w="1418"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32.859</w:t>
            </w:r>
          </w:p>
        </w:tc>
        <w:tc>
          <w:tcPr>
            <w:tcW w:w="1346" w:type="dxa"/>
            <w:tcBorders>
              <w:top w:val="single" w:sz="4" w:space="0" w:color="auto"/>
            </w:tcBorders>
            <w:vAlign w:val="center"/>
          </w:tcPr>
          <w:p w:rsidR="00AF0579" w:rsidRDefault="00312604">
            <w:pPr>
              <w:widowControl/>
              <w:spacing w:before="100" w:beforeAutospacing="1" w:after="100" w:afterAutospacing="1" w:line="360" w:lineRule="auto"/>
              <w:jc w:val="center"/>
              <w:rPr>
                <w:rFonts w:ascii="仿宋_GB2312" w:eastAsia="仿宋_GB2312"/>
                <w:sz w:val="24"/>
                <w:szCs w:val="24"/>
              </w:rPr>
            </w:pPr>
            <w:r>
              <w:rPr>
                <w:rFonts w:ascii="仿宋_GB2312" w:eastAsia="仿宋_GB2312" w:hint="eastAsia"/>
                <w:sz w:val="24"/>
                <w:szCs w:val="24"/>
              </w:rPr>
              <w:t>否</w:t>
            </w:r>
          </w:p>
        </w:tc>
      </w:tr>
      <w:tr w:rsidR="00AF0579">
        <w:trPr>
          <w:trHeight w:val="462"/>
          <w:jc w:val="center"/>
        </w:trPr>
        <w:tc>
          <w:tcPr>
            <w:tcW w:w="1668" w:type="dxa"/>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lastRenderedPageBreak/>
              <w:t>危险废物的产生和处置情况</w:t>
            </w:r>
          </w:p>
        </w:tc>
        <w:tc>
          <w:tcPr>
            <w:tcW w:w="6894" w:type="dxa"/>
            <w:gridSpan w:val="6"/>
            <w:vAlign w:val="center"/>
          </w:tcPr>
          <w:p w:rsidR="00AF0579" w:rsidRDefault="00312604">
            <w:pPr>
              <w:widowControl/>
              <w:spacing w:before="100" w:beforeAutospacing="1" w:after="100" w:afterAutospacing="1" w:line="360" w:lineRule="auto"/>
              <w:jc w:val="left"/>
              <w:rPr>
                <w:rFonts w:ascii="仿宋_GB2312" w:eastAsia="仿宋_GB2312"/>
                <w:sz w:val="24"/>
                <w:szCs w:val="24"/>
              </w:rPr>
            </w:pPr>
            <w:r>
              <w:rPr>
                <w:rFonts w:ascii="仿宋_GB2312" w:eastAsia="仿宋_GB2312" w:hint="eastAsia"/>
                <w:sz w:val="24"/>
                <w:szCs w:val="24"/>
              </w:rPr>
              <w:t>公司生产中产生的危险废物主要有含油废物、废活性炭和废催化剂等危险废物，所有危险废物均委托第三方有资质单位进行处理处置，处理处置单位主要包括山东平福环境服务有限公司、青岛惠城环保科技股份有限公司、青岛国跃环境工程有限公司、河北欣芮再生资源利用有限公司、江苏科创石化有限公司、湖北中超化工科技有限公司、徐州浩通新材料科技股份有限公司、江西省君鑫贵金属科技材料有限公司等具有危险废物经营资质的单位。2019年危险废物外委处置情况详见附件1。</w:t>
            </w:r>
          </w:p>
        </w:tc>
      </w:tr>
      <w:tr w:rsidR="00AF0579">
        <w:trPr>
          <w:trHeight w:val="484"/>
          <w:jc w:val="center"/>
        </w:trPr>
        <w:tc>
          <w:tcPr>
            <w:tcW w:w="1668" w:type="dxa"/>
            <w:vAlign w:val="center"/>
          </w:tcPr>
          <w:p w:rsidR="00AF0579" w:rsidRDefault="00312604">
            <w:pPr>
              <w:widowControl/>
              <w:spacing w:before="100" w:beforeAutospacing="1" w:after="100" w:afterAutospacing="1" w:line="360" w:lineRule="auto"/>
              <w:jc w:val="center"/>
              <w:rPr>
                <w:rFonts w:ascii="仿宋_GB2312" w:eastAsia="仿宋_GB2312"/>
                <w:b/>
                <w:sz w:val="24"/>
                <w:szCs w:val="24"/>
              </w:rPr>
            </w:pPr>
            <w:r>
              <w:rPr>
                <w:rFonts w:ascii="仿宋_GB2312" w:eastAsia="仿宋_GB2312" w:hint="eastAsia"/>
                <w:b/>
                <w:sz w:val="24"/>
                <w:szCs w:val="24"/>
              </w:rPr>
              <w:t>依法落实环境风险防控措施情况</w:t>
            </w:r>
          </w:p>
        </w:tc>
        <w:tc>
          <w:tcPr>
            <w:tcW w:w="6894" w:type="dxa"/>
            <w:gridSpan w:val="6"/>
            <w:vAlign w:val="center"/>
          </w:tcPr>
          <w:p w:rsidR="00AF0579" w:rsidRDefault="00312604">
            <w:pPr>
              <w:widowControl/>
              <w:spacing w:before="100" w:beforeAutospacing="1" w:after="100" w:afterAutospacing="1" w:line="360" w:lineRule="auto"/>
              <w:jc w:val="left"/>
              <w:rPr>
                <w:rFonts w:ascii="仿宋_GB2312" w:eastAsia="仿宋_GB2312"/>
                <w:sz w:val="24"/>
                <w:szCs w:val="24"/>
              </w:rPr>
            </w:pPr>
            <w:r>
              <w:rPr>
                <w:rFonts w:ascii="仿宋_GB2312" w:eastAsia="仿宋_GB2312" w:hint="eastAsia"/>
                <w:sz w:val="24"/>
                <w:szCs w:val="24"/>
              </w:rPr>
              <w:t>《青岛炼化公司突发环境事件应急预案》已于2018年3月2日在青岛市环境保护局西海岸新区分局备案</w:t>
            </w:r>
            <w:r>
              <w:rPr>
                <w:rFonts w:ascii="仿宋_GB2312" w:eastAsia="仿宋_GB2312"/>
                <w:sz w:val="24"/>
                <w:szCs w:val="24"/>
              </w:rPr>
              <w:t> </w:t>
            </w:r>
            <w:r>
              <w:rPr>
                <w:rFonts w:ascii="仿宋_GB2312" w:eastAsia="仿宋_GB2312" w:hint="eastAsia"/>
                <w:sz w:val="24"/>
                <w:szCs w:val="24"/>
              </w:rPr>
              <w:t>，备案号为370211-2018-104-H，并依法在青岛炼化公司门户网站公开。</w:t>
            </w:r>
          </w:p>
        </w:tc>
      </w:tr>
    </w:tbl>
    <w:p w:rsidR="00AF0579" w:rsidRDefault="00AF0579">
      <w:pPr>
        <w:spacing w:line="360" w:lineRule="auto"/>
        <w:ind w:firstLineChars="200" w:firstLine="640"/>
        <w:contextualSpacing/>
        <w:rPr>
          <w:rFonts w:ascii="仿宋_GB2312" w:eastAsia="仿宋_GB2312"/>
          <w:sz w:val="32"/>
          <w:szCs w:val="32"/>
        </w:rPr>
      </w:pPr>
    </w:p>
    <w:p w:rsidR="00AF0579" w:rsidRDefault="00AF0579">
      <w:pPr>
        <w:spacing w:line="360" w:lineRule="auto"/>
        <w:ind w:firstLineChars="200" w:firstLine="640"/>
        <w:contextualSpacing/>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312604">
      <w:pPr>
        <w:spacing w:line="360" w:lineRule="auto"/>
        <w:contextualSpacing/>
        <w:jc w:val="left"/>
        <w:rPr>
          <w:rFonts w:ascii="仿宋_GB2312" w:eastAsia="仿宋_GB2312"/>
          <w:sz w:val="32"/>
          <w:szCs w:val="32"/>
        </w:rPr>
      </w:pPr>
      <w:r>
        <w:rPr>
          <w:rFonts w:ascii="仿宋_GB2312" w:eastAsia="仿宋_GB2312" w:hint="eastAsia"/>
          <w:sz w:val="32"/>
          <w:szCs w:val="32"/>
        </w:rPr>
        <w:t>附件1:2019年度危险废物外委处置情况</w:t>
      </w:r>
    </w:p>
    <w:p w:rsidR="00AF0579" w:rsidRDefault="00AF0579">
      <w:pPr>
        <w:spacing w:line="360" w:lineRule="auto"/>
        <w:contextualSpacing/>
        <w:jc w:val="left"/>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312604">
      <w:pPr>
        <w:spacing w:line="360" w:lineRule="auto"/>
        <w:contextualSpacing/>
        <w:jc w:val="right"/>
        <w:rPr>
          <w:rFonts w:ascii="仿宋_GB2312" w:eastAsia="仿宋_GB2312"/>
          <w:sz w:val="32"/>
          <w:szCs w:val="32"/>
        </w:rPr>
      </w:pPr>
      <w:r>
        <w:rPr>
          <w:rFonts w:ascii="仿宋_GB2312" w:eastAsia="仿宋_GB2312" w:hint="eastAsia"/>
          <w:sz w:val="32"/>
          <w:szCs w:val="32"/>
        </w:rPr>
        <w:t>中国石化青岛炼油化工有限责任公司</w:t>
      </w:r>
    </w:p>
    <w:p w:rsidR="00AF0579" w:rsidRDefault="00312604">
      <w:pPr>
        <w:wordWrap w:val="0"/>
        <w:spacing w:line="360" w:lineRule="auto"/>
        <w:contextualSpacing/>
        <w:jc w:val="right"/>
        <w:rPr>
          <w:rFonts w:ascii="仿宋_GB2312" w:eastAsia="仿宋_GB2312"/>
          <w:sz w:val="32"/>
          <w:szCs w:val="32"/>
        </w:rPr>
      </w:pPr>
      <w:r>
        <w:rPr>
          <w:rFonts w:ascii="仿宋_GB2312" w:eastAsia="仿宋_GB2312" w:hint="eastAsia"/>
          <w:sz w:val="32"/>
          <w:szCs w:val="32"/>
        </w:rPr>
        <w:t xml:space="preserve">         2020年</w:t>
      </w:r>
      <w:r w:rsidR="00343179">
        <w:rPr>
          <w:rFonts w:ascii="仿宋_GB2312" w:eastAsia="仿宋_GB2312"/>
          <w:sz w:val="32"/>
          <w:szCs w:val="32"/>
        </w:rPr>
        <w:t>5</w:t>
      </w:r>
      <w:r>
        <w:rPr>
          <w:rFonts w:ascii="仿宋_GB2312" w:eastAsia="仿宋_GB2312" w:hint="eastAsia"/>
          <w:sz w:val="32"/>
          <w:szCs w:val="32"/>
        </w:rPr>
        <w:t>月</w:t>
      </w:r>
      <w:r w:rsidR="00343179">
        <w:rPr>
          <w:rFonts w:ascii="仿宋_GB2312" w:eastAsia="仿宋_GB2312"/>
          <w:sz w:val="32"/>
          <w:szCs w:val="32"/>
        </w:rPr>
        <w:t>30</w:t>
      </w:r>
      <w:r>
        <w:rPr>
          <w:rFonts w:ascii="仿宋_GB2312" w:eastAsia="仿宋_GB2312" w:hint="eastAsia"/>
          <w:sz w:val="32"/>
          <w:szCs w:val="32"/>
        </w:rPr>
        <w:t xml:space="preserve">日    </w:t>
      </w:r>
    </w:p>
    <w:p w:rsidR="00AF0579" w:rsidRDefault="00AF0579">
      <w:pPr>
        <w:spacing w:line="360" w:lineRule="auto"/>
        <w:contextualSpacing/>
        <w:jc w:val="left"/>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AF0579">
      <w:pPr>
        <w:spacing w:line="360" w:lineRule="auto"/>
        <w:contextualSpacing/>
        <w:jc w:val="left"/>
        <w:rPr>
          <w:rFonts w:ascii="仿宋_GB2312" w:eastAsia="仿宋_GB2312"/>
          <w:sz w:val="32"/>
          <w:szCs w:val="32"/>
        </w:rPr>
      </w:pPr>
    </w:p>
    <w:p w:rsidR="00AF0579" w:rsidRDefault="00312604">
      <w:pPr>
        <w:spacing w:line="360" w:lineRule="auto"/>
        <w:contextualSpacing/>
        <w:jc w:val="left"/>
        <w:rPr>
          <w:rFonts w:ascii="仿宋_GB2312" w:eastAsia="仿宋_GB2312"/>
          <w:sz w:val="32"/>
          <w:szCs w:val="32"/>
        </w:rPr>
      </w:pPr>
      <w:r>
        <w:rPr>
          <w:rFonts w:ascii="仿宋_GB2312" w:eastAsia="仿宋_GB2312" w:hint="eastAsia"/>
          <w:sz w:val="32"/>
          <w:szCs w:val="32"/>
        </w:rPr>
        <w:lastRenderedPageBreak/>
        <w:t>附件1：</w:t>
      </w:r>
      <w:r w:rsidR="00594F2F">
        <w:rPr>
          <w:rFonts w:ascii="仿宋_GB2312" w:eastAsia="仿宋_GB2312" w:hint="eastAsia"/>
          <w:sz w:val="32"/>
          <w:szCs w:val="32"/>
        </w:rPr>
        <w:t>2019年度危险废物外委处置情况</w:t>
      </w:r>
      <w:bookmarkStart w:id="0" w:name="_GoBack"/>
      <w:bookmarkEnd w:id="0"/>
    </w:p>
    <w:p w:rsidR="00AF0579" w:rsidRDefault="00312604">
      <w:pPr>
        <w:contextualSpacing/>
        <w:rPr>
          <w:rFonts w:ascii="仿宋_GB2312" w:eastAsia="仿宋_GB2312"/>
          <w:sz w:val="32"/>
          <w:szCs w:val="32"/>
        </w:rPr>
      </w:pPr>
      <w:r>
        <w:rPr>
          <w:noProof/>
        </w:rPr>
        <w:lastRenderedPageBreak/>
        <w:drawing>
          <wp:anchor distT="0" distB="0" distL="114300" distR="114300" simplePos="0" relativeHeight="251661312" behindDoc="1" locked="0" layoutInCell="1" allowOverlap="1">
            <wp:simplePos x="0" y="0"/>
            <wp:positionH relativeFrom="column">
              <wp:posOffset>43815</wp:posOffset>
            </wp:positionH>
            <wp:positionV relativeFrom="paragraph">
              <wp:posOffset>5714365</wp:posOffset>
            </wp:positionV>
            <wp:extent cx="4277995" cy="2816860"/>
            <wp:effectExtent l="0" t="0" r="0" b="2540"/>
            <wp:wrapThrough wrapText="bothSides">
              <wp:wrapPolygon edited="0">
                <wp:start x="0" y="0"/>
                <wp:lineTo x="0" y="21473"/>
                <wp:lineTo x="21545" y="21473"/>
                <wp:lineTo x="21545" y="0"/>
                <wp:lineTo x="0" y="0"/>
              </wp:wrapPolygon>
            </wp:wrapThrough>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277995" cy="281686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-34925</wp:posOffset>
            </wp:positionH>
            <wp:positionV relativeFrom="paragraph">
              <wp:posOffset>2863215</wp:posOffset>
            </wp:positionV>
            <wp:extent cx="4523105" cy="2823845"/>
            <wp:effectExtent l="0" t="0" r="10795" b="1460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523105" cy="28238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-69850</wp:posOffset>
            </wp:positionH>
            <wp:positionV relativeFrom="paragraph">
              <wp:posOffset>55245</wp:posOffset>
            </wp:positionV>
            <wp:extent cx="5220970" cy="2778125"/>
            <wp:effectExtent l="0" t="0" r="17780"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220970" cy="2778125"/>
                    </a:xfrm>
                    <a:prstGeom prst="rect">
                      <a:avLst/>
                    </a:prstGeom>
                    <a:noFill/>
                    <a:ln>
                      <a:noFill/>
                    </a:ln>
                  </pic:spPr>
                </pic:pic>
              </a:graphicData>
            </a:graphic>
          </wp:anchor>
        </w:drawing>
      </w:r>
      <w:r>
        <w:rPr>
          <w:rFonts w:hint="eastAsia"/>
        </w:rPr>
        <w:t xml:space="preserve">      </w:t>
      </w:r>
    </w:p>
    <w:p w:rsidR="00AF0579" w:rsidRDefault="00AF0579">
      <w:pPr>
        <w:spacing w:line="360" w:lineRule="auto"/>
        <w:contextualSpacing/>
        <w:rPr>
          <w:rFonts w:ascii="仿宋_GB2312" w:eastAsia="仿宋_GB2312"/>
          <w:sz w:val="32"/>
          <w:szCs w:val="32"/>
        </w:rPr>
      </w:pPr>
    </w:p>
    <w:sectPr w:rsidR="00AF05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EAD" w:rsidRDefault="000B0EAD" w:rsidP="00594F2F">
      <w:r>
        <w:separator/>
      </w:r>
    </w:p>
  </w:endnote>
  <w:endnote w:type="continuationSeparator" w:id="0">
    <w:p w:rsidR="000B0EAD" w:rsidRDefault="000B0EAD" w:rsidP="0059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EAD" w:rsidRDefault="000B0EAD" w:rsidP="00594F2F">
      <w:r>
        <w:separator/>
      </w:r>
    </w:p>
  </w:footnote>
  <w:footnote w:type="continuationSeparator" w:id="0">
    <w:p w:rsidR="000B0EAD" w:rsidRDefault="000B0EAD" w:rsidP="00594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A3"/>
    <w:rsid w:val="000B0EAD"/>
    <w:rsid w:val="00123B8D"/>
    <w:rsid w:val="001401B6"/>
    <w:rsid w:val="002553A7"/>
    <w:rsid w:val="002B136B"/>
    <w:rsid w:val="002C3B1E"/>
    <w:rsid w:val="00312604"/>
    <w:rsid w:val="00343179"/>
    <w:rsid w:val="00560EB7"/>
    <w:rsid w:val="00594F2F"/>
    <w:rsid w:val="006C0CCD"/>
    <w:rsid w:val="00A15DF3"/>
    <w:rsid w:val="00AF0579"/>
    <w:rsid w:val="00B346A3"/>
    <w:rsid w:val="00B76D60"/>
    <w:rsid w:val="00BC2521"/>
    <w:rsid w:val="00C86461"/>
    <w:rsid w:val="00D61DBB"/>
    <w:rsid w:val="02C372C0"/>
    <w:rsid w:val="2A9B0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B591C92-D3C0-4DC8-853D-921658E9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B51A4A4BCD6A8646A29E5CAE5D51817B" ma:contentTypeVersion="1" ma:contentTypeDescription="新建文档。" ma:contentTypeScope="" ma:versionID="e407852de3c8e8290b206cefdb92a3d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2FBCBA-4038-4DCB-B40D-88FD69FD2D62}"/>
</file>

<file path=customXml/itemProps2.xml><?xml version="1.0" encoding="utf-8"?>
<ds:datastoreItem xmlns:ds="http://schemas.openxmlformats.org/officeDocument/2006/customXml" ds:itemID="{B1977F7D-205B-4081-913C-38D41E755F92}"/>
</file>

<file path=customXml/itemProps3.xml><?xml version="1.0" encoding="utf-8"?>
<ds:datastoreItem xmlns:ds="http://schemas.openxmlformats.org/officeDocument/2006/customXml" ds:itemID="{48F07281-8A3F-43A3-8B3F-8E2500D3A007}"/>
</file>

<file path=customXml/itemProps4.xml><?xml version="1.0" encoding="utf-8"?>
<ds:datastoreItem xmlns:ds="http://schemas.openxmlformats.org/officeDocument/2006/customXml" ds:itemID="{754A7446-ABD5-495C-A768-6521B6EB83BB}"/>
</file>

<file path=customXml/itemProps5.xml><?xml version="1.0" encoding="utf-8"?>
<ds:datastoreItem xmlns:ds="http://schemas.openxmlformats.org/officeDocument/2006/customXml" ds:itemID="{9EB38839-49E1-4BF5-A5CE-E2B138C9DD1E}"/>
</file>

<file path=docProps/app.xml><?xml version="1.0" encoding="utf-8"?>
<Properties xmlns="http://schemas.openxmlformats.org/officeDocument/2006/extended-properties" xmlns:vt="http://schemas.openxmlformats.org/officeDocument/2006/docPropsVTypes">
  <Template>Normal.dotm</Template>
  <TotalTime>1</TotalTime>
  <Pages>4</Pages>
  <Words>140</Words>
  <Characters>799</Characters>
  <Application>Microsoft Office Word</Application>
  <DocSecurity>0</DocSecurity>
  <Lines>6</Lines>
  <Paragraphs>1</Paragraphs>
  <ScaleCrop>false</ScaleCrop>
  <Company>Sinopec</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毕维常</dc:creator>
  <cp:lastModifiedBy>Q Shiyier</cp:lastModifiedBy>
  <cp:revision>3</cp:revision>
  <dcterms:created xsi:type="dcterms:W3CDTF">2020-06-15T00:20:00Z</dcterms:created>
  <dcterms:modified xsi:type="dcterms:W3CDTF">2020-06-15T01:43:00Z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0x010100B51A4A4BCD6A8646A29E5CAE5D51817B</vt:lpwstr>
  </property>
</Properties>
</file>